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ИНСТРУКЦИЯ ПО ДЕЛОПРОИЗВОДСТВУ</w:t>
      </w:r>
    </w:p>
    <w:p>
      <w:pPr>
        <w:jc w:val="center"/>
      </w:pPr>
      <w:r>
        <w:rPr>
          <w:b w:val="0"/>
          <w:sz w:val="24"/>
        </w:rPr>
        <w:t>Номер: ИНС-ФТ-2026-014</w:t>
      </w:r>
    </w:p>
    <w:p>
      <w:pPr>
        <w:jc w:val="center"/>
      </w:pPr>
      <w:r>
        <w:rPr>
          <w:b w:val="0"/>
          <w:sz w:val="24"/>
        </w:rPr>
        <w:t>Дата утверждения: 14 января 2027 г.</w:t>
      </w:r>
    </w:p>
    <w:p>
      <w:pPr>
        <w:jc w:val="center"/>
      </w:pPr>
      <w:r>
        <w:rPr>
          <w:b w:val="0"/>
          <w:sz w:val="24"/>
        </w:rPr>
        <w:t>Организация: АО КБ «ФинТраст»</w:t>
      </w:r>
    </w:p>
    <w:p>
      <w:pPr>
        <w:jc w:val="center"/>
      </w:pPr>
      <w:r>
        <w:rPr>
          <w:b w:val="0"/>
          <w:sz w:val="24"/>
        </w:rPr>
        <w:t>Составил: Служба документационного обеспечения и комплаенс</w:t>
      </w:r>
    </w:p>
    <w:p/>
    <w:p>
      <w:pPr>
        <w:pStyle w:val="Heading2"/>
      </w:pPr>
      <w:r>
        <w:t>1. Общие положения</w:t>
      </w:r>
    </w:p>
    <w:p>
      <w:r>
        <w:t>1.1. Настоящая инструкция устанавливает единый порядок работы с документами в АО КБ «ФинТраст» и определяет требования к их созданию, регистрации, хранению и передаче, включая документы, содержащие банковскую тайну и персональные данные клиентов.</w:t>
      </w:r>
    </w:p>
    <w:p>
      <w:r>
        <w:t>1.2. Инструкция обязательна для исполнения всеми структурными подразделениями и сотрудниками банка.</w:t>
      </w:r>
    </w:p>
    <w:p>
      <w:r>
        <w:t>1.3. Ответственность за соблюдение настоящей инструкции возлагается на руководителей структурных подразделений.</w:t>
      </w:r>
    </w:p>
    <w:p>
      <w:pPr>
        <w:pStyle w:val="Heading2"/>
      </w:pPr>
      <w:r>
        <w:t>2. Виды документов и сроки обработки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30"/>
        <w:gridCol w:w="3230"/>
        <w:gridCol w:w="3230"/>
      </w:tblGrid>
      <w:tr>
        <w:tc>
          <w:tcPr>
            <w:tcW w:type="dxa" w:w="3230"/>
          </w:tcPr>
          <w:p>
            <w:r>
              <w:rPr>
                <w:b/>
              </w:rPr>
              <w:t>Вид документа</w:t>
            </w:r>
          </w:p>
        </w:tc>
        <w:tc>
          <w:tcPr>
            <w:tcW w:type="dxa" w:w="3230"/>
          </w:tcPr>
          <w:p>
            <w:r>
              <w:rPr>
                <w:b/>
              </w:rPr>
              <w:t>Срок регистрации</w:t>
            </w:r>
          </w:p>
        </w:tc>
        <w:tc>
          <w:tcPr>
            <w:tcW w:type="dxa" w:w="3230"/>
          </w:tcPr>
          <w:p>
            <w:r>
              <w:rPr>
                <w:b/>
              </w:rPr>
              <w:t>Срок исполнения</w:t>
            </w:r>
          </w:p>
        </w:tc>
      </w:tr>
      <w:tr>
        <w:tc>
          <w:tcPr>
            <w:tcW w:type="dxa" w:w="3230"/>
          </w:tcPr>
          <w:p>
            <w:r>
              <w:t>Входящая корреспонденция клиентов</w:t>
            </w:r>
          </w:p>
        </w:tc>
        <w:tc>
          <w:tcPr>
            <w:tcW w:type="dxa" w:w="3230"/>
          </w:tcPr>
          <w:p>
            <w:r>
              <w:t>1 рабочий день</w:t>
            </w:r>
          </w:p>
        </w:tc>
        <w:tc>
          <w:tcPr>
            <w:tcW w:type="dxa" w:w="3230"/>
          </w:tcPr>
          <w:p>
            <w:r>
              <w:t>10 рабочих дней</w:t>
            </w:r>
          </w:p>
        </w:tc>
      </w:tr>
      <w:tr>
        <w:tc>
          <w:tcPr>
            <w:tcW w:type="dxa" w:w="3230"/>
          </w:tcPr>
          <w:p>
            <w:r>
              <w:t>Кредитные досье (заявки и договоры)</w:t>
            </w:r>
          </w:p>
        </w:tc>
        <w:tc>
          <w:tcPr>
            <w:tcW w:type="dxa" w:w="3230"/>
          </w:tcPr>
          <w:p>
            <w:r>
              <w:t>1 рабочий день</w:t>
            </w:r>
          </w:p>
        </w:tc>
        <w:tc>
          <w:tcPr>
            <w:tcW w:type="dxa" w:w="3230"/>
          </w:tcPr>
          <w:p>
            <w:r>
              <w:t>5 рабочих дней</w:t>
            </w:r>
          </w:p>
        </w:tc>
      </w:tr>
      <w:tr>
        <w:tc>
          <w:tcPr>
            <w:tcW w:type="dxa" w:w="3230"/>
          </w:tcPr>
          <w:p>
            <w:r>
              <w:t>Документы KYC/AML (анкеты клиентов)</w:t>
            </w:r>
          </w:p>
        </w:tc>
        <w:tc>
          <w:tcPr>
            <w:tcW w:type="dxa" w:w="3230"/>
          </w:tcPr>
          <w:p>
            <w:r>
              <w:t>1 рабочий день</w:t>
            </w:r>
          </w:p>
        </w:tc>
        <w:tc>
          <w:tcPr>
            <w:tcW w:type="dxa" w:w="3230"/>
          </w:tcPr>
          <w:p>
            <w:r>
              <w:t>3 рабочих дня</w:t>
            </w:r>
          </w:p>
        </w:tc>
      </w:tr>
      <w:tr>
        <w:tc>
          <w:tcPr>
            <w:tcW w:type="dxa" w:w="3230"/>
          </w:tcPr>
          <w:p>
            <w:r>
              <w:t>Внутренние приказы и распоряжения</w:t>
            </w:r>
          </w:p>
        </w:tc>
        <w:tc>
          <w:tcPr>
            <w:tcW w:type="dxa" w:w="3230"/>
          </w:tcPr>
          <w:p>
            <w:r>
              <w:t>2 рабочих дня</w:t>
            </w:r>
          </w:p>
        </w:tc>
        <w:tc>
          <w:tcPr>
            <w:tcW w:type="dxa" w:w="3230"/>
          </w:tcPr>
          <w:p>
            <w:r>
              <w:t>5 рабочих дней</w:t>
            </w:r>
          </w:p>
        </w:tc>
      </w:tr>
      <w:tr>
        <w:tc>
          <w:tcPr>
            <w:tcW w:type="dxa" w:w="3230"/>
          </w:tcPr>
          <w:p>
            <w:r>
              <w:t>Договоры с контрагентами</w:t>
            </w:r>
          </w:p>
        </w:tc>
        <w:tc>
          <w:tcPr>
            <w:tcW w:type="dxa" w:w="3230"/>
          </w:tcPr>
          <w:p>
            <w:r>
              <w:t>3 рабочих дня</w:t>
            </w:r>
          </w:p>
        </w:tc>
        <w:tc>
          <w:tcPr>
            <w:tcW w:type="dxa" w:w="3230"/>
          </w:tcPr>
          <w:p>
            <w:r>
              <w:t>30 рабочих дней</w:t>
            </w:r>
          </w:p>
        </w:tc>
      </w:tr>
      <w:tr>
        <w:tc>
          <w:tcPr>
            <w:tcW w:type="dxa" w:w="3230"/>
          </w:tcPr>
          <w:p>
            <w:r>
              <w:t>Комплаенс-отчёты и служебные записки</w:t>
            </w:r>
          </w:p>
        </w:tc>
        <w:tc>
          <w:tcPr>
            <w:tcW w:type="dxa" w:w="3230"/>
          </w:tcPr>
          <w:p>
            <w:r>
              <w:t>1 рабочий день</w:t>
            </w:r>
          </w:p>
        </w:tc>
        <w:tc>
          <w:tcPr>
            <w:tcW w:type="dxa" w:w="3230"/>
          </w:tcPr>
          <w:p>
            <w:r>
              <w:t>7 рабочих дней</w:t>
            </w:r>
          </w:p>
        </w:tc>
      </w:tr>
    </w:tbl>
    <w:p>
      <w:pPr>
        <w:pStyle w:val="Heading2"/>
      </w:pPr>
      <w:r>
        <w:t>3. Порядок регистрации документов</w:t>
      </w:r>
    </w:p>
    <w:p>
      <w:r>
        <w:t>3.1. Регистрация входящих документов осуществляется в системе электронного документооборота (СЭД) в день их поступления.</w:t>
      </w:r>
    </w:p>
    <w:p>
      <w:r>
        <w:t>3.2. Каждому документу присваивается уникальный регистрационный номер в формате: ТИП-ГОД-ПОРЯДКОВЫЙ НОМЕР (например: КД-2026-00142 — для кредитного досье).</w:t>
      </w:r>
    </w:p>
    <w:p>
      <w:r>
        <w:t>3.3. Документы на бумажном носителе, содержащие персональные данные клиентов, подлежат обязательному сканированию, загрузке в СЭД и обработке в соответствии с требованиями Федерального закона № 152-ФЗ «О персональных данных», в течение 1 рабочего дня.</w:t>
      </w:r>
    </w:p>
    <w:p>
      <w:pPr>
        <w:pStyle w:val="Heading2"/>
      </w:pPr>
      <w:r>
        <w:t>4. Требования к оформлению</w:t>
      </w:r>
    </w:p>
    <w:p>
      <w:r>
        <w:t>4.1. Все документы оформляются на фирменном бланке банка с соблюдением требований ГОСТ Р 7.0.97-2016.</w:t>
      </w:r>
    </w:p>
    <w:p>
      <w:r>
        <w:t>4.2. Шрифт: Times New Roman, кегль 12, межстрочный интервал 1,5.</w:t>
      </w:r>
    </w:p>
    <w:p>
      <w:r>
        <w:t>4.3. Поля страницы: левое — 30 мм, правое — 15 мм, верхнее — 20 мм, нижнее — 20 мм.</w:t>
      </w:r>
    </w:p>
    <w:p>
      <w:r>
        <w:t>4.4. Документы, содержащие банковскую тайну или персональные данные клиентов, маркируются грифом «Банковская тайна» либо «Для служебного пользования» в правом верхнем углу первой страницы.</w:t>
      </w:r>
    </w:p>
    <w:p>
      <w:pPr>
        <w:pStyle w:val="Heading2"/>
      </w:pPr>
      <w:r>
        <w:t>5. Хранение документов</w:t>
      </w:r>
    </w:p>
    <w:p>
      <w:r>
        <w:t>5.1. Электронные документы хранятся в СЭД в соответствии с номенклатурой дел сроком не менее 5 лет.</w:t>
      </w:r>
    </w:p>
    <w:p>
      <w:r>
        <w:t>5.2. Документы постоянного хранения передаются в архив банка ежегодно в первом квартале следующего года.</w:t>
      </w:r>
    </w:p>
    <w:p>
      <w:r>
        <w:t>5.3. Уничтожение документов с истёкшим сроком хранения производится комиссионно с составлением акта об уничтожении.</w:t>
      </w:r>
    </w:p>
    <w:p>
      <w:pPr>
        <w:pStyle w:val="Heading2"/>
      </w:pPr>
      <w:r>
        <w:t>6. Ответственность</w:t>
      </w:r>
    </w:p>
    <w:p>
      <w:r>
        <w:t>6.1. За нарушение настоящей инструкции сотрудники несут дисциплинарную ответственность в соответствии с Трудовым кодексом РФ, а за разглашение банковской тайны или персональных данных клиентов — также в соответствии с Федеральным законом № 152-ФЗ и Федеральным законом № 395-1 «О банках и банковской деятельности».</w:t>
      </w:r>
    </w:p>
    <w:p>
      <w:r>
        <w:t>6.2. Контроль за исполнением инструкции возлагается на начальника службы документационного обеспечения и комплаенс.</w:t>
      </w:r>
    </w:p>
    <w:p/>
    <w:p>
      <w:r>
        <w:t>Утверждено: Председатель правления АО КБ «ФинТраст»</w:t>
      </w:r>
    </w:p>
    <w:p>
      <w:r>
        <w:t>Подпись: _______________________</w:t>
      </w:r>
    </w:p>
    <w:p>
      <w:r>
        <w:t>Дата: 14 января 2026 г.</w:t>
      </w:r>
    </w:p>
    <w:sectPr w:rsidR="00FC693F" w:rsidRPr="0006063C" w:rsidSect="0003461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